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1 vom 4. Juli 2023</w:t>
      </w:r>
    </w:p>
    <w:p>
      <w:r>
        <w:t>GR Gerichte, 2023-07-04, DE</w:t>
      </w:r>
    </w:p>
    <w:p>
      <w:r>
        <w:rPr>
          <w:b/>
        </w:rPr>
        <w:t xml:space="preserve">Quelle: </w:t>
      </w:r>
      <w:r>
        <w:t>https://mcp.opencaselaw.ch/entscheid/gr_gerichte_ZK2 2022 1</w:t>
      </w:r>
    </w:p>
    <w:p>
      <w:r>
        <w:t>FR: GR_GERICHTE ZK2 2022 1 du 4 juillet 2023</w:t>
      </w:r>
    </w:p>
    <w:p>
      <w:r>
        <w:t>IT: GR_GERICHTE ZK2 2022 1 del 4 luglio 2023</w:t>
      </w:r>
    </w:p>
    <w:p>
      <w:pPr>
        <w:pStyle w:val="Heading2"/>
      </w:pPr>
      <w:r>
        <w:t>Regeste</w:t>
      </w:r>
    </w:p>
    <w:p>
      <w:r>
        <w:t>Forderung | Berufung OR Pacht/Leihe/Darlehen</w:t>
      </w:r>
    </w:p>
    <w:p>
      <w:pPr>
        <w:pStyle w:val="Heading2"/>
      </w:pPr>
      <w:r>
        <w:t>Erwägungen</w:t>
      </w:r>
    </w:p>
    <w:p>
      <w:r>
        <w:rPr>
          <w:b/>
        </w:rPr>
        <w:t>E. 14</w:t>
      </w:r>
    </w:p>
    <w:p>
      <w:r>
        <w:t>/ 20 stritten (RG act. I.3, 13f). Der Einwand der Berufungsbeklagten bezüglich mangel- hafter Behauptung und Substantiierung erweist sich daher zumindest in diesem Umfang als unbegründet. 6.5. Durch die Gutschrift der Zahlungen wurde die Berufungsbeklagte berei- chert, vermehrte sich durch sie ihr Vermögen bzw. wäre ihr Vermögensstand tie- fer, wenn die Zahlungen – die bereichernden Ereignisse – nicht stattgefunden hät- ten. Diese Bereicherung trat sodann – da unbestritten – in Schweizer Franken, US-Dollar und Euro ein. Die Berufungsklägerin behauptete erstmals anlässlich der vorinstanzlichen Hauptverhandlung, die Berufungsbeklagte habe nur ein "Fran- kenkonto" gehabt. Sie selbst habe Fremdwährung bezogen, diese in Schweizer Franken umgewandelt und so der Berufungsbeklagten mittels Banküberweisung überwiesen (RG act. VII.1, S. 3). In ihrer letzten Stellungnahme im Berufungsver- fahren formuliert sie, dass die Zahlungen in Euro allesamt im Zuge der Überwei- sungen in Schweizer Franken umgewandelt worden seien (act. A.5, 39). Dass ein- zelne Belege, wie beispielsweise der Bankauszug der GKB vom 31. März 2015 über EUR 1'300.00 (RG act. II.13, im Berufungsverfahren als act. B.3.k akturiert), diese Behauptung belegen würden, ist unerheblich, da die Behauptung einerseits verspätet erfolgte und andererseits diesbezüglich bereits ein unbestrittener und daher nicht zu beweisender Sachverhalt vorlag. Auch wenn die Berufungsbeklagte in ihrer vorinstanzlichen Duplik in einer Tabelle neben dem in Euro überwiesenen Betrag auch den Wechselkurs und den gutgeschriebenen Betrag in Schweizer Franken auflistete, anerkannte sie ausdrücklich weiterhin bloss die Gutschrift "in EUR" bzw. "in USD" (siehe beispielsweise die bereits thematisierte Überweisung von EUR 1'300.00 in RG act. I.4, S. 9 dritte Zeile und 19.2). Aus diesem Grund kann im Einwand der Berufungsbeklagten, die Umrechnung (in Schweizer Fran- ken) sei nicht durch die Klägerin, sondern durch die Bank vorgenommen worden (RG act. VII.1, S. 3), auch keine Relativierung der behaupteten Gutschrift in Euro bzw. US-Dollar gesehen werden. 6.6.1. Während es für die Verpflichtung des Darlehensschuldners nicht darauf ankommt, was aus der Darlehensvaluta geworden ist, hängt der Umfang der Be- reicherungsschuld davon ab, ob bzw. wie viel und was (Surrogat) von der Berei- cherung im Vermögen des Bereicherten im Zeitpunkt der Rückforderung noch vorhanden ist. Hat sich der (gutgläubige) Empfänger der Bereicherung entäussert, so erlischt die Rückerstattungspflicht im entsprechenden Umfang. Die Rückerstat- tungspflicht bleibt jedoch so weit bestehen, als an Stelle der ursprünglichen Berei- cherung ein anderer Wert (ein Surrogat) getreten ist. Die Rückerstattungspflicht bleibt auch dann bestehen, wenn der Empfänger bei der Entäusserung bösgläubig</w:t>
      </w:r>
    </w:p>
    <w:p>
      <w:r>
        <w:rPr>
          <w:b/>
        </w:rPr>
        <w:t>E. 15</w:t>
      </w:r>
    </w:p>
    <w:p>
      <w:r>
        <w:t>/ 20 war (Art. 64 OR; Peter/von Tuhr, a.a.O., S. 502 ff.). Bösgläubigkeit liegt vor, wenn der Bereicherte um seine Rückerstattungspflicht wusste oder sie hätte kennen müssen (Art. 3 Abs. 2 ZGB), spätestens sobald die Rückforderung erfolgt. Bei der ungerechtfertigten Bereicherung aus nicht verwirklichtem Grund (condictio causa data non secuta oder condictio ob causam futuram), liegt Bösgläubigkeit gemäss bundesgerichtlicher Rechtsprechung von vornherein vor, da der Empfänger dies- falls mit der allfälligen Rückerstattung rechnen muss (BGE 82 II 430 E. 8; Pe- ter/von Tuhr, a.a.O., S. 510 f.; Arnold F. Rusch, Der entreicherte Bereicherte, in: ZSR 2013, S. 570). 6.6.2. Angesichts der BGE 48 II 235 und 106 II 36 scheinen diese auf Art. 64 OR gründenden Regeln zum Umfang der Rückerstattungspflicht auf die Frage des Wechselkurses anwendbar zu sein. Dort erkannte das Bundesgericht wie erwähnt, dass nicht der nichtige vertraglich vereinbarte Wechselkurs zur Anwendung ge- langt, sondern der Wechselkurs des Empfangstages der Leistung. Damit gelangte mithin der Wechselkurs des Tages zur Anwendung, ab dem der Bereicherte nicht (mehr) gutgläubig war, da es in den erwähnten Bundesgerichtsentscheiden (beide betrafen ex tunc nichtige Verträge) jeweils um einen nicht verwirklichten Rechts- grund ging und diesfalls der gute Glaube von vornherein fehlt (E. 6.6.1; Schu- lin/Vogt, a.a.O., N 5 in fine und 9 erster Absatz letzter Satz zu Art. 64 OR). 6.7. Die Vorinstanz bejahte eine ungerechtfertigte Bereicherung aus nachträg- lich weggefallenem Grund (condictio causa finita). Der nachträglich weggefallene Grund sah die Vorinstanz in der geplanten Eigentumsübertragung der Wohnung an die Berufungsklägerin (und deren Ehemann). Da es unbestrittenermassen nie zu dieser Eigentumsübertragung gekommen ist, kann diese jedoch nicht einen nachträglich weggefallenen Grund für die Zahlung darstellen. Nachträglich wegge- fallener Grund für die Zahlung kann auch nicht eine Verpflichtung zur künftigen Eigentumsübertragung oder eine vorvertragliche Verpflichtung zum Abschluss ei- nes künftigen Vertrages über die Eigentumsübertragung bilden, da es sich dabei um einen Grundstückkaufvertrag bzw. einen Vorvertrag zum Abschluss eines Grundstückkaufvertrags handeln würde und beides mangels öffentlicher Beurkun- dung (Art. 216 Abs. 1 und 2 OR; allenfalls auch aufgrund rechtswidrigen Inhalts, vgl. Art. 28 und 26 BewG [SR 211.412.41]) ex tunc nichtig wäre. Nach bundesge- richtlicher Rechtsprechung ist in dieser Konstellation die Erwartung des Abschlus- ses eines gültigen, öffentlich beurkundeten Grundstückkaufvertrages (allenfalls auch einer öffentlich beurkundeten Schenkung, Art. 243 Abs. 2 OR) und damit der Eintritt eines zukünftigen Ereignisses Rechtsgrund der Zahlungen. Kommt der Vertrag oder das erwartete zukünftige Ereignis nicht zustande, so erweist sich die</w:t>
      </w:r>
    </w:p>
    <w:p>
      <w:r>
        <w:rPr>
          <w:b/>
        </w:rPr>
        <w:t>E. 16</w:t>
      </w:r>
    </w:p>
    <w:p>
      <w:r>
        <w:t>/ 20 Leistung als kraft eines nicht verwirklichten Rechtsgrundes erbracht (BGE 119 II</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